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6" w:rsidRDefault="00CF7B60" w:rsidP="00CA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SGMC /</w:t>
      </w:r>
      <w:r w:rsidRPr="00CF7B60">
        <w:rPr>
          <w:b/>
          <w:sz w:val="28"/>
          <w:szCs w:val="28"/>
        </w:rPr>
        <w:t xml:space="preserve"> CMC FEES FOR NON NHS REQUESTS</w:t>
      </w:r>
      <w:r w:rsidR="00437E79">
        <w:rPr>
          <w:b/>
          <w:sz w:val="28"/>
          <w:szCs w:val="28"/>
        </w:rPr>
        <w:t xml:space="preserve"> </w:t>
      </w:r>
      <w:r w:rsidR="001E2764">
        <w:rPr>
          <w:b/>
          <w:sz w:val="28"/>
          <w:szCs w:val="28"/>
        </w:rPr>
        <w:t>(Sept 20)</w:t>
      </w:r>
    </w:p>
    <w:tbl>
      <w:tblPr>
        <w:tblStyle w:val="TableGrid"/>
        <w:tblW w:w="10022" w:type="dxa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1417"/>
        <w:gridCol w:w="1375"/>
      </w:tblGrid>
      <w:tr w:rsidR="00CA1DE6" w:rsidRPr="00CA1DE6" w:rsidTr="00B91385">
        <w:tc>
          <w:tcPr>
            <w:tcW w:w="5387" w:type="dxa"/>
          </w:tcPr>
          <w:p w:rsidR="00CA1DE6" w:rsidRPr="00CA1DE6" w:rsidRDefault="00CA1DE6">
            <w:pPr>
              <w:rPr>
                <w:b/>
              </w:rPr>
            </w:pPr>
            <w:r w:rsidRPr="00CA1DE6">
              <w:rPr>
                <w:b/>
              </w:rPr>
              <w:t>Certificates/ Form /Declarations</w:t>
            </w:r>
          </w:p>
        </w:tc>
        <w:tc>
          <w:tcPr>
            <w:tcW w:w="1843" w:type="dxa"/>
          </w:tcPr>
          <w:p w:rsidR="00CA1DE6" w:rsidRPr="00CA1DE6" w:rsidRDefault="00CA1DE6" w:rsidP="00CA1DE6">
            <w:pPr>
              <w:jc w:val="center"/>
              <w:rPr>
                <w:b/>
              </w:rPr>
            </w:pPr>
            <w:r w:rsidRPr="00CA1DE6">
              <w:rPr>
                <w:b/>
              </w:rPr>
              <w:t>Standard certificate or statement of fact</w:t>
            </w:r>
          </w:p>
        </w:tc>
        <w:tc>
          <w:tcPr>
            <w:tcW w:w="1417" w:type="dxa"/>
          </w:tcPr>
          <w:p w:rsidR="00CA1DE6" w:rsidRPr="00CA1DE6" w:rsidRDefault="00CA1DE6" w:rsidP="00CA1DE6">
            <w:pPr>
              <w:jc w:val="center"/>
              <w:rPr>
                <w:b/>
              </w:rPr>
            </w:pPr>
            <w:r w:rsidRPr="00CA1DE6">
              <w:rPr>
                <w:b/>
              </w:rPr>
              <w:t>Brief letter or certificate</w:t>
            </w:r>
          </w:p>
          <w:p w:rsidR="00CA1DE6" w:rsidRPr="00CA1DE6" w:rsidRDefault="00CA1DE6" w:rsidP="00CA1DE6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CA1DE6" w:rsidRPr="00CA1DE6" w:rsidRDefault="00CA1DE6" w:rsidP="00CA1DE6">
            <w:pPr>
              <w:jc w:val="center"/>
              <w:rPr>
                <w:b/>
              </w:rPr>
            </w:pPr>
            <w:r w:rsidRPr="00CA1DE6">
              <w:rPr>
                <w:b/>
              </w:rPr>
              <w:t>Complex letter or certificate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>
            <w:pPr>
              <w:rPr>
                <w:b/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Letter to Whom it may concern</w:t>
            </w:r>
          </w:p>
        </w:tc>
        <w:tc>
          <w:tcPr>
            <w:tcW w:w="1843" w:type="dxa"/>
          </w:tcPr>
          <w:p w:rsidR="00CA1DE6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  <w:p w:rsidR="004F3E63" w:rsidRPr="006C3165" w:rsidRDefault="004F3E63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(£40 if required in less than 10 working days)</w:t>
            </w:r>
          </w:p>
        </w:tc>
        <w:tc>
          <w:tcPr>
            <w:tcW w:w="141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375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Private Sick Note</w:t>
            </w:r>
          </w:p>
        </w:tc>
        <w:tc>
          <w:tcPr>
            <w:tcW w:w="1843" w:type="dxa"/>
          </w:tcPr>
          <w:p w:rsidR="00CA1DE6" w:rsidRPr="006C3165" w:rsidRDefault="00F96E1C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417" w:type="dxa"/>
            <w:shd w:val="clear" w:color="auto" w:fill="auto"/>
          </w:tcPr>
          <w:p w:rsidR="00CA1DE6" w:rsidRPr="006C3165" w:rsidRDefault="00F96E1C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D66340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Private Prescription</w:t>
            </w:r>
            <w:r>
              <w:rPr>
                <w:sz w:val="24"/>
                <w:szCs w:val="24"/>
              </w:rPr>
              <w:t xml:space="preserve"> (without private app</w:t>
            </w:r>
            <w:r w:rsidR="00D66340">
              <w:rPr>
                <w:sz w:val="24"/>
                <w:szCs w:val="24"/>
              </w:rPr>
              <w:t>ointment)</w:t>
            </w:r>
          </w:p>
        </w:tc>
        <w:tc>
          <w:tcPr>
            <w:tcW w:w="1843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Fitness to Travel / Study/ Work/ To Exercise</w:t>
            </w:r>
          </w:p>
        </w:tc>
        <w:tc>
          <w:tcPr>
            <w:tcW w:w="1843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41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375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7</w:t>
            </w:r>
            <w:r w:rsidRPr="006C3165">
              <w:rPr>
                <w:sz w:val="24"/>
                <w:szCs w:val="24"/>
              </w:rPr>
              <w:t>5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Elderly Fitness to Drive</w:t>
            </w:r>
            <w:r>
              <w:rPr>
                <w:sz w:val="24"/>
                <w:szCs w:val="24"/>
              </w:rPr>
              <w:t xml:space="preserve"> (No-examination)</w:t>
            </w:r>
          </w:p>
        </w:tc>
        <w:tc>
          <w:tcPr>
            <w:tcW w:w="1843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41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375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7</w:t>
            </w:r>
            <w:r w:rsidRPr="006C3165">
              <w:rPr>
                <w:sz w:val="24"/>
                <w:szCs w:val="24"/>
              </w:rPr>
              <w:t>5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33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(</w:t>
            </w:r>
            <w:r w:rsidRPr="006C3165">
              <w:rPr>
                <w:sz w:val="24"/>
                <w:szCs w:val="24"/>
              </w:rPr>
              <w:t>Holiday Cancellation Insurance Form,</w:t>
            </w:r>
            <w:r>
              <w:rPr>
                <w:sz w:val="24"/>
                <w:szCs w:val="24"/>
              </w:rPr>
              <w:t xml:space="preserve"> Accident forms,</w:t>
            </w:r>
            <w:r w:rsidRPr="006C3165">
              <w:rPr>
                <w:sz w:val="24"/>
                <w:szCs w:val="24"/>
              </w:rPr>
              <w:t xml:space="preserve"> BUPA</w:t>
            </w:r>
            <w:r>
              <w:rPr>
                <w:sz w:val="24"/>
                <w:szCs w:val="24"/>
              </w:rPr>
              <w:t xml:space="preserve"> etc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C316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141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</w:p>
        </w:tc>
        <w:tc>
          <w:tcPr>
            <w:tcW w:w="1375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115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Default="00CA1DE6" w:rsidP="0033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/ University / Camp America letter</w:t>
            </w:r>
          </w:p>
        </w:tc>
        <w:tc>
          <w:tcPr>
            <w:tcW w:w="1843" w:type="dxa"/>
            <w:shd w:val="clear" w:color="auto" w:fill="auto"/>
          </w:tcPr>
          <w:p w:rsidR="00CA1DE6" w:rsidRDefault="00F96E1C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417" w:type="dxa"/>
          </w:tcPr>
          <w:p w:rsidR="00CA1DE6" w:rsidRDefault="00CA1DE6" w:rsidP="00F9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96E1C">
              <w:rPr>
                <w:sz w:val="24"/>
                <w:szCs w:val="24"/>
              </w:rPr>
              <w:t>63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</w:p>
        </w:tc>
      </w:tr>
      <w:tr w:rsidR="00CA1DE6" w:rsidRPr="006C3165" w:rsidTr="00B91385">
        <w:tc>
          <w:tcPr>
            <w:tcW w:w="5387" w:type="dxa"/>
          </w:tcPr>
          <w:p w:rsidR="00CA1DE6" w:rsidRDefault="004F3E63" w:rsidP="004F3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Badge (details </w:t>
            </w:r>
            <w:bookmarkStart w:id="0" w:name="_GoBack"/>
            <w:bookmarkEnd w:id="0"/>
            <w:r w:rsidR="00CA1DE6">
              <w:rPr>
                <w:sz w:val="24"/>
                <w:szCs w:val="24"/>
              </w:rPr>
              <w:t>taken from electronic records)</w:t>
            </w:r>
          </w:p>
        </w:tc>
        <w:tc>
          <w:tcPr>
            <w:tcW w:w="1843" w:type="dxa"/>
          </w:tcPr>
          <w:p w:rsidR="00CA1DE6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1417" w:type="dxa"/>
          </w:tcPr>
          <w:p w:rsidR="00CA1DE6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375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</w:p>
        </w:tc>
      </w:tr>
      <w:tr w:rsidR="00B91385" w:rsidRPr="006C3165" w:rsidTr="00B91385">
        <w:tc>
          <w:tcPr>
            <w:tcW w:w="5387" w:type="dxa"/>
          </w:tcPr>
          <w:p w:rsidR="00B91385" w:rsidRDefault="00B91385" w:rsidP="00331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Firearms licence checks</w:t>
            </w:r>
          </w:p>
        </w:tc>
        <w:tc>
          <w:tcPr>
            <w:tcW w:w="1843" w:type="dxa"/>
          </w:tcPr>
          <w:p w:rsidR="00B91385" w:rsidRDefault="00B91385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1385" w:rsidRDefault="00B91385" w:rsidP="00CA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B91385" w:rsidRDefault="00B91385" w:rsidP="00CA1D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246" w:rsidRPr="00CA1DE6" w:rsidRDefault="009A7246">
      <w:pPr>
        <w:rPr>
          <w:b/>
          <w:sz w:val="8"/>
          <w:szCs w:val="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2481"/>
        <w:gridCol w:w="2197"/>
      </w:tblGrid>
      <w:tr w:rsidR="00CA1DE6" w:rsidRPr="00CA1DE6" w:rsidTr="00B91385">
        <w:tc>
          <w:tcPr>
            <w:tcW w:w="5387" w:type="dxa"/>
          </w:tcPr>
          <w:p w:rsidR="00CA1DE6" w:rsidRPr="00CA1DE6" w:rsidRDefault="00CA1DE6" w:rsidP="00BB5F8D">
            <w:pPr>
              <w:rPr>
                <w:b/>
              </w:rPr>
            </w:pPr>
            <w:r w:rsidRPr="00CA1DE6">
              <w:rPr>
                <w:b/>
              </w:rPr>
              <w:t>Medical Reports without Examination</w:t>
            </w:r>
          </w:p>
          <w:p w:rsidR="00CA1DE6" w:rsidRPr="00CA1DE6" w:rsidRDefault="00CA1DE6" w:rsidP="00BB5F8D"/>
        </w:tc>
        <w:tc>
          <w:tcPr>
            <w:tcW w:w="2481" w:type="dxa"/>
          </w:tcPr>
          <w:p w:rsidR="00CA1DE6" w:rsidRPr="00CA1DE6" w:rsidRDefault="00CA1DE6" w:rsidP="00BB5F8D">
            <w:pPr>
              <w:jc w:val="center"/>
              <w:rPr>
                <w:b/>
              </w:rPr>
            </w:pPr>
            <w:r w:rsidRPr="00CA1DE6">
              <w:rPr>
                <w:b/>
              </w:rPr>
              <w:t>Standard certificate or statement of fact</w:t>
            </w:r>
          </w:p>
        </w:tc>
        <w:tc>
          <w:tcPr>
            <w:tcW w:w="2197" w:type="dxa"/>
          </w:tcPr>
          <w:p w:rsidR="00CA1DE6" w:rsidRPr="00CA1DE6" w:rsidRDefault="00CA1DE6" w:rsidP="00BB5F8D">
            <w:pPr>
              <w:jc w:val="center"/>
              <w:rPr>
                <w:b/>
              </w:rPr>
            </w:pPr>
            <w:r w:rsidRPr="00CA1DE6">
              <w:rPr>
                <w:b/>
              </w:rPr>
              <w:t>Complex letter or certificate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CA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Based on</w:t>
            </w:r>
            <w:r w:rsidRPr="006C3165">
              <w:rPr>
                <w:sz w:val="24"/>
                <w:szCs w:val="24"/>
              </w:rPr>
              <w:t xml:space="preserve"> Medical Record (20 min)</w:t>
            </w:r>
          </w:p>
        </w:tc>
        <w:tc>
          <w:tcPr>
            <w:tcW w:w="2481" w:type="dxa"/>
          </w:tcPr>
          <w:p w:rsidR="00CA1DE6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219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£115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CA1DE6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Insurance Company GP Report (</w:t>
            </w:r>
            <w:r>
              <w:rPr>
                <w:sz w:val="24"/>
                <w:szCs w:val="24"/>
              </w:rPr>
              <w:t>Prospective subscriber Private Medical Insurance</w:t>
            </w:r>
            <w:r w:rsidRPr="006C3165">
              <w:rPr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CA1DE6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</w:t>
            </w:r>
          </w:p>
        </w:tc>
        <w:tc>
          <w:tcPr>
            <w:tcW w:w="219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£115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CA1DE6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Insurance Company GP Supplementary Report (</w:t>
            </w:r>
            <w:r w:rsidRPr="00CA1DE6">
              <w:rPr>
                <w:sz w:val="24"/>
                <w:szCs w:val="24"/>
              </w:rPr>
              <w:t>Prospective subscriber Private Medical Insurance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£27</w:t>
            </w:r>
            <w:r>
              <w:rPr>
                <w:sz w:val="24"/>
                <w:szCs w:val="24"/>
              </w:rPr>
              <w:t xml:space="preserve"> - £33 per question</w:t>
            </w:r>
          </w:p>
        </w:tc>
      </w:tr>
      <w:tr w:rsidR="00CA1DE6" w:rsidRPr="006C3165" w:rsidTr="00B91385">
        <w:tc>
          <w:tcPr>
            <w:tcW w:w="5387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OFSTED Health Declaration Form for Childminders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</w:p>
        </w:tc>
      </w:tr>
    </w:tbl>
    <w:p w:rsidR="00CA1DE6" w:rsidRPr="00CA1DE6" w:rsidRDefault="00CA1DE6">
      <w:pPr>
        <w:rPr>
          <w:b/>
          <w:sz w:val="8"/>
          <w:szCs w:val="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CA1DE6" w:rsidRPr="00CA1DE6" w:rsidTr="00CA1DE6">
        <w:tc>
          <w:tcPr>
            <w:tcW w:w="7088" w:type="dxa"/>
          </w:tcPr>
          <w:p w:rsidR="00CA1DE6" w:rsidRPr="00CA1DE6" w:rsidRDefault="00CA1DE6" w:rsidP="00BB5F8D">
            <w:pPr>
              <w:rPr>
                <w:b/>
              </w:rPr>
            </w:pPr>
            <w:r w:rsidRPr="00CA1DE6">
              <w:rPr>
                <w:b/>
              </w:rPr>
              <w:t>Medical Reports with Examination</w:t>
            </w:r>
          </w:p>
          <w:p w:rsidR="00CA1DE6" w:rsidRPr="00CA1DE6" w:rsidRDefault="00CA1DE6" w:rsidP="00BB5F8D"/>
        </w:tc>
        <w:tc>
          <w:tcPr>
            <w:tcW w:w="2977" w:type="dxa"/>
          </w:tcPr>
          <w:p w:rsidR="00CA1DE6" w:rsidRPr="00CA1DE6" w:rsidRDefault="00CA1DE6" w:rsidP="00BB5F8D">
            <w:pPr>
              <w:jc w:val="center"/>
              <w:rPr>
                <w:b/>
              </w:rPr>
            </w:pPr>
            <w:r w:rsidRPr="00CA1DE6">
              <w:rPr>
                <w:b/>
              </w:rPr>
              <w:t>Medical Examination and Completion of Report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CA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(accident / sickness claim)</w:t>
            </w:r>
          </w:p>
        </w:tc>
        <w:tc>
          <w:tcPr>
            <w:tcW w:w="297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50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3165">
              <w:rPr>
                <w:sz w:val="24"/>
                <w:szCs w:val="24"/>
              </w:rPr>
              <w:t>HGV / Diving / Pilot / LGV /PCV /Taxi /</w:t>
            </w:r>
            <w:r>
              <w:rPr>
                <w:sz w:val="24"/>
                <w:szCs w:val="24"/>
              </w:rPr>
              <w:t>Army / Elderly driver -  Examination and Report  (</w:t>
            </w:r>
            <w:r w:rsidRPr="006C3165">
              <w:rPr>
                <w:sz w:val="24"/>
                <w:szCs w:val="24"/>
              </w:rPr>
              <w:t>30 min)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OFSTED Childminder Medical</w:t>
            </w:r>
          </w:p>
        </w:tc>
        <w:tc>
          <w:tcPr>
            <w:tcW w:w="2977" w:type="dxa"/>
          </w:tcPr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Adoption Medical</w:t>
            </w:r>
            <w:r>
              <w:rPr>
                <w:sz w:val="24"/>
                <w:szCs w:val="24"/>
              </w:rPr>
              <w:t xml:space="preserve"> – (Appt up to 1Hr long book at least 30mins)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Medical Examination Post Employment to Assess Fitness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Medical Examination for School / University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 xml:space="preserve">Enduring Power of Attorney and Examination at Surgery 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£100</w:t>
            </w:r>
            <w:r>
              <w:rPr>
                <w:sz w:val="24"/>
                <w:szCs w:val="24"/>
              </w:rPr>
              <w:t xml:space="preserve"> - £125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 xml:space="preserve">Enduring Power of Attorney and Examination at Home 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£150</w:t>
            </w:r>
            <w:r>
              <w:rPr>
                <w:sz w:val="24"/>
                <w:szCs w:val="24"/>
              </w:rPr>
              <w:t xml:space="preserve"> - £187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Verification of Capacity</w:t>
            </w:r>
            <w:r>
              <w:rPr>
                <w:sz w:val="24"/>
                <w:szCs w:val="24"/>
              </w:rPr>
              <w:t>/Certificate Provider</w:t>
            </w:r>
            <w:r w:rsidRPr="006C3165">
              <w:rPr>
                <w:sz w:val="24"/>
                <w:szCs w:val="24"/>
              </w:rPr>
              <w:t xml:space="preserve"> for Insurance/ Wills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£100</w:t>
            </w:r>
            <w:r>
              <w:rPr>
                <w:sz w:val="24"/>
                <w:szCs w:val="24"/>
              </w:rPr>
              <w:t xml:space="preserve"> - £125</w:t>
            </w:r>
          </w:p>
        </w:tc>
      </w:tr>
    </w:tbl>
    <w:p w:rsidR="00CA1DE6" w:rsidRPr="00CA1DE6" w:rsidRDefault="00CA1DE6">
      <w:pPr>
        <w:rPr>
          <w:b/>
          <w:sz w:val="8"/>
          <w:szCs w:val="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CA1DE6" w:rsidRPr="00CA1DE6" w:rsidTr="00CA1DE6">
        <w:tc>
          <w:tcPr>
            <w:tcW w:w="7088" w:type="dxa"/>
          </w:tcPr>
          <w:p w:rsidR="00CA1DE6" w:rsidRPr="00CA1DE6" w:rsidRDefault="00CA1DE6" w:rsidP="00BB5F8D">
            <w:pPr>
              <w:rPr>
                <w:b/>
              </w:rPr>
            </w:pPr>
            <w:r w:rsidRPr="00CA1DE6">
              <w:rPr>
                <w:b/>
              </w:rPr>
              <w:t>Copies from Medical Records</w:t>
            </w:r>
          </w:p>
          <w:p w:rsidR="00CA1DE6" w:rsidRPr="00CA1DE6" w:rsidRDefault="00CA1DE6" w:rsidP="00BB5F8D">
            <w:pPr>
              <w:rPr>
                <w:b/>
              </w:rPr>
            </w:pPr>
          </w:p>
        </w:tc>
        <w:tc>
          <w:tcPr>
            <w:tcW w:w="2977" w:type="dxa"/>
          </w:tcPr>
          <w:p w:rsidR="00CA1DE6" w:rsidRPr="00CA1DE6" w:rsidRDefault="00CA1DE6" w:rsidP="00BB5F8D">
            <w:pPr>
              <w:jc w:val="center"/>
              <w:rPr>
                <w:b/>
              </w:rPr>
            </w:pPr>
            <w:r w:rsidRPr="00CA1DE6">
              <w:rPr>
                <w:b/>
              </w:rPr>
              <w:t>Fee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</w:t>
            </w:r>
            <w:r w:rsidRPr="006C3165">
              <w:rPr>
                <w:sz w:val="24"/>
                <w:szCs w:val="24"/>
              </w:rPr>
              <w:t>notes</w:t>
            </w:r>
            <w:r>
              <w:rPr>
                <w:sz w:val="24"/>
                <w:szCs w:val="24"/>
              </w:rPr>
              <w:t xml:space="preserve">, reports or individual pages provided as PDF document 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Pr="006C31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(unless excessive)</w:t>
            </w:r>
          </w:p>
        </w:tc>
      </w:tr>
    </w:tbl>
    <w:p w:rsidR="00CA1DE6" w:rsidRPr="00CA1DE6" w:rsidRDefault="00CA1DE6" w:rsidP="00CA1DE6">
      <w:pPr>
        <w:rPr>
          <w:b/>
          <w:sz w:val="8"/>
          <w:szCs w:val="8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CA1DE6" w:rsidRPr="006C3165" w:rsidTr="00CA1DE6">
        <w:tc>
          <w:tcPr>
            <w:tcW w:w="7088" w:type="dxa"/>
          </w:tcPr>
          <w:p w:rsidR="00CA1DE6" w:rsidRDefault="00CA1DE6" w:rsidP="00CA1DE6">
            <w:pPr>
              <w:rPr>
                <w:b/>
                <w:sz w:val="24"/>
                <w:szCs w:val="24"/>
              </w:rPr>
            </w:pPr>
            <w:r w:rsidRPr="006C3165">
              <w:rPr>
                <w:b/>
                <w:sz w:val="24"/>
                <w:szCs w:val="24"/>
              </w:rPr>
              <w:t xml:space="preserve">Clinical </w:t>
            </w:r>
          </w:p>
          <w:p w:rsidR="00CA1DE6" w:rsidRPr="006C3165" w:rsidRDefault="00CA1DE6" w:rsidP="00CA1D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A1DE6" w:rsidRPr="00CA1DE6" w:rsidRDefault="00CA1DE6" w:rsidP="00BB5F8D">
            <w:pPr>
              <w:jc w:val="center"/>
              <w:rPr>
                <w:b/>
                <w:sz w:val="24"/>
                <w:szCs w:val="24"/>
              </w:rPr>
            </w:pPr>
            <w:r w:rsidRPr="00CA1DE6">
              <w:rPr>
                <w:b/>
                <w:sz w:val="24"/>
                <w:szCs w:val="24"/>
              </w:rPr>
              <w:t>Fee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Default="00CA1DE6" w:rsidP="00BB5F8D">
            <w:pPr>
              <w:rPr>
                <w:sz w:val="24"/>
                <w:szCs w:val="24"/>
              </w:rPr>
            </w:pPr>
            <w:r w:rsidRPr="006C3165">
              <w:rPr>
                <w:sz w:val="24"/>
                <w:szCs w:val="24"/>
              </w:rPr>
              <w:t>Private Consultation including Private Prescription</w:t>
            </w:r>
          </w:p>
          <w:p w:rsidR="00CA1DE6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mins</w:t>
            </w:r>
          </w:p>
          <w:p w:rsidR="00CA1DE6" w:rsidRPr="006C3165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mins</w:t>
            </w:r>
          </w:p>
        </w:tc>
        <w:tc>
          <w:tcPr>
            <w:tcW w:w="2977" w:type="dxa"/>
          </w:tcPr>
          <w:p w:rsidR="00CA1DE6" w:rsidRDefault="00CA1DE6" w:rsidP="00CA1DE6">
            <w:pPr>
              <w:rPr>
                <w:sz w:val="24"/>
                <w:szCs w:val="24"/>
              </w:rPr>
            </w:pPr>
          </w:p>
          <w:p w:rsidR="00CA1DE6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  <w:p w:rsidR="00CA1DE6" w:rsidRPr="006C3165" w:rsidRDefault="00CA1DE6" w:rsidP="00CA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CA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Pr="006C3165">
              <w:rPr>
                <w:sz w:val="24"/>
                <w:szCs w:val="24"/>
              </w:rPr>
              <w:t>– NHS Blood Tests (exc</w:t>
            </w:r>
            <w:r>
              <w:rPr>
                <w:sz w:val="24"/>
                <w:szCs w:val="24"/>
              </w:rPr>
              <w:t xml:space="preserve">luding </w:t>
            </w:r>
            <w:r w:rsidRPr="006C3165">
              <w:rPr>
                <w:sz w:val="24"/>
                <w:szCs w:val="24"/>
              </w:rPr>
              <w:t>pathology costs)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Pr="006C3165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– NHS appointment (DNA, swab, bloods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with Practice Nurse) </w:t>
            </w:r>
          </w:p>
        </w:tc>
        <w:tc>
          <w:tcPr>
            <w:tcW w:w="2977" w:type="dxa"/>
          </w:tcPr>
          <w:p w:rsidR="00CA1DE6" w:rsidRPr="006C3165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</w:tr>
      <w:tr w:rsidR="00CA1DE6" w:rsidRPr="006C3165" w:rsidTr="00CA1DE6">
        <w:tc>
          <w:tcPr>
            <w:tcW w:w="7088" w:type="dxa"/>
          </w:tcPr>
          <w:p w:rsidR="00CA1DE6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of ECG</w:t>
            </w:r>
          </w:p>
          <w:p w:rsidR="00CA1DE6" w:rsidRDefault="00CA1DE6" w:rsidP="00BB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on ECG findings</w:t>
            </w:r>
          </w:p>
        </w:tc>
        <w:tc>
          <w:tcPr>
            <w:tcW w:w="2977" w:type="dxa"/>
          </w:tcPr>
          <w:p w:rsidR="00CA1DE6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</w:p>
          <w:p w:rsidR="00CA1DE6" w:rsidRDefault="00CA1DE6" w:rsidP="00BB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</w:p>
        </w:tc>
      </w:tr>
    </w:tbl>
    <w:p w:rsidR="00CA1DE6" w:rsidRDefault="00CA1DE6" w:rsidP="00CA1DE6">
      <w:pPr>
        <w:rPr>
          <w:b/>
          <w:sz w:val="24"/>
          <w:szCs w:val="24"/>
        </w:rPr>
      </w:pPr>
    </w:p>
    <w:p w:rsidR="00F96E1C" w:rsidRPr="00F96E1C" w:rsidRDefault="00F96E1C" w:rsidP="00D6695C">
      <w:pPr>
        <w:jc w:val="center"/>
        <w:rPr>
          <w:b/>
          <w:sz w:val="24"/>
          <w:szCs w:val="24"/>
        </w:rPr>
      </w:pPr>
      <w:r w:rsidRPr="00F96E1C">
        <w:rPr>
          <w:b/>
          <w:sz w:val="24"/>
          <w:szCs w:val="24"/>
        </w:rPr>
        <w:t>Why we charge for the completion of private forms and letters</w:t>
      </w:r>
      <w:r w:rsidR="00B91385">
        <w:rPr>
          <w:b/>
          <w:sz w:val="24"/>
          <w:szCs w:val="24"/>
        </w:rPr>
        <w:t>.</w:t>
      </w:r>
    </w:p>
    <w:p w:rsidR="00F96E1C" w:rsidRPr="00D6695C" w:rsidRDefault="00F96E1C" w:rsidP="00B91385">
      <w:pPr>
        <w:jc w:val="both"/>
        <w:rPr>
          <w:sz w:val="24"/>
          <w:szCs w:val="24"/>
        </w:rPr>
      </w:pPr>
      <w:r w:rsidRPr="00D6695C">
        <w:rPr>
          <w:sz w:val="24"/>
          <w:szCs w:val="24"/>
        </w:rPr>
        <w:t>Stoke Gifford and Conygre Medical Centres form an NH</w:t>
      </w:r>
      <w:r w:rsidR="00B91385">
        <w:rPr>
          <w:sz w:val="24"/>
          <w:szCs w:val="24"/>
        </w:rPr>
        <w:t>S practice. Patients often ask D</w:t>
      </w:r>
      <w:r w:rsidRPr="00D6695C">
        <w:rPr>
          <w:sz w:val="24"/>
          <w:szCs w:val="24"/>
        </w:rPr>
        <w:t xml:space="preserve">octors to write </w:t>
      </w:r>
      <w:proofErr w:type="gramStart"/>
      <w:r w:rsidRPr="00D6695C">
        <w:rPr>
          <w:sz w:val="24"/>
          <w:szCs w:val="24"/>
        </w:rPr>
        <w:t>letters,</w:t>
      </w:r>
      <w:proofErr w:type="gramEnd"/>
      <w:r w:rsidRPr="00D6695C">
        <w:rPr>
          <w:sz w:val="24"/>
          <w:szCs w:val="24"/>
        </w:rPr>
        <w:t xml:space="preserve"> complete and sign medical forms or supply medical information to third parties. This work is not covered by t</w:t>
      </w:r>
      <w:r w:rsidR="00B91385">
        <w:rPr>
          <w:sz w:val="24"/>
          <w:szCs w:val="24"/>
        </w:rPr>
        <w:t>he NHS contract and classed as p</w:t>
      </w:r>
      <w:r w:rsidRPr="00D6695C">
        <w:rPr>
          <w:sz w:val="24"/>
          <w:szCs w:val="24"/>
        </w:rPr>
        <w:t>rivate work- this is completed in the Doctor's own time and Doctors are entitled to charge for providing this service.</w:t>
      </w:r>
    </w:p>
    <w:p w:rsidR="00F96E1C" w:rsidRPr="00D6695C" w:rsidRDefault="00F96E1C" w:rsidP="00B91385">
      <w:pPr>
        <w:jc w:val="both"/>
        <w:rPr>
          <w:sz w:val="24"/>
          <w:szCs w:val="24"/>
        </w:rPr>
      </w:pPr>
      <w:r w:rsidRPr="00D6695C">
        <w:rPr>
          <w:sz w:val="24"/>
          <w:szCs w:val="24"/>
        </w:rPr>
        <w:t xml:space="preserve">Please hand in any forms/letter requests at reception- please do not make an appointment to </w:t>
      </w:r>
      <w:r w:rsidR="00B91385">
        <w:rPr>
          <w:sz w:val="24"/>
          <w:szCs w:val="24"/>
        </w:rPr>
        <w:t>complete this paperwork as the D</w:t>
      </w:r>
      <w:r w:rsidRPr="00D6695C">
        <w:rPr>
          <w:sz w:val="24"/>
          <w:szCs w:val="24"/>
        </w:rPr>
        <w:t>octor will be unable to do so during surgery.</w:t>
      </w:r>
    </w:p>
    <w:p w:rsidR="00F96E1C" w:rsidRPr="00D6695C" w:rsidRDefault="00F96E1C" w:rsidP="00B91385">
      <w:pPr>
        <w:jc w:val="both"/>
        <w:rPr>
          <w:sz w:val="24"/>
          <w:szCs w:val="24"/>
        </w:rPr>
      </w:pPr>
      <w:r w:rsidRPr="00D6695C">
        <w:rPr>
          <w:sz w:val="24"/>
          <w:szCs w:val="24"/>
        </w:rPr>
        <w:t xml:space="preserve"> All requests are completed at the discretion of the practice. In order to complete or just sign </w:t>
      </w:r>
      <w:r w:rsidR="00B91385">
        <w:rPr>
          <w:sz w:val="24"/>
          <w:szCs w:val="24"/>
        </w:rPr>
        <w:t>even the simplest of forms the D</w:t>
      </w:r>
      <w:r w:rsidRPr="00D6695C">
        <w:rPr>
          <w:sz w:val="24"/>
          <w:szCs w:val="24"/>
        </w:rPr>
        <w:t>octor may have to check a patient's entire medical record. We will contact you to advise the payment amount before completion.</w:t>
      </w:r>
    </w:p>
    <w:p w:rsidR="00F96E1C" w:rsidRPr="00D6695C" w:rsidRDefault="00F96E1C" w:rsidP="00B91385">
      <w:pPr>
        <w:jc w:val="both"/>
        <w:rPr>
          <w:sz w:val="24"/>
          <w:szCs w:val="24"/>
        </w:rPr>
      </w:pPr>
      <w:r w:rsidRPr="00D6695C">
        <w:rPr>
          <w:sz w:val="24"/>
          <w:szCs w:val="24"/>
        </w:rPr>
        <w:t xml:space="preserve">NHS consultations with </w:t>
      </w:r>
      <w:proofErr w:type="gramStart"/>
      <w:r w:rsidRPr="00D6695C">
        <w:rPr>
          <w:sz w:val="24"/>
          <w:szCs w:val="24"/>
        </w:rPr>
        <w:t>unwell</w:t>
      </w:r>
      <w:proofErr w:type="gramEnd"/>
      <w:r w:rsidRPr="00D6695C">
        <w:rPr>
          <w:sz w:val="24"/>
          <w:szCs w:val="24"/>
        </w:rPr>
        <w:t xml:space="preserve"> patients must take priority over non-NHS work</w:t>
      </w:r>
      <w:r w:rsidR="00D6695C" w:rsidRPr="00D6695C">
        <w:rPr>
          <w:sz w:val="24"/>
          <w:szCs w:val="24"/>
        </w:rPr>
        <w:t xml:space="preserve"> and forms</w:t>
      </w:r>
      <w:r w:rsidR="00B91385">
        <w:rPr>
          <w:sz w:val="24"/>
          <w:szCs w:val="24"/>
        </w:rPr>
        <w:t xml:space="preserve">.   </w:t>
      </w:r>
      <w:r w:rsidR="00D6695C" w:rsidRPr="00D6695C">
        <w:rPr>
          <w:sz w:val="24"/>
          <w:szCs w:val="24"/>
        </w:rPr>
        <w:t>Private letters are unlikely to require medica</w:t>
      </w:r>
      <w:r w:rsidR="004F3E63">
        <w:rPr>
          <w:sz w:val="24"/>
          <w:szCs w:val="24"/>
        </w:rPr>
        <w:t>l urgency and so please allow 30</w:t>
      </w:r>
      <w:r w:rsidR="00D6695C" w:rsidRPr="00D6695C">
        <w:rPr>
          <w:sz w:val="24"/>
          <w:szCs w:val="24"/>
        </w:rPr>
        <w:t xml:space="preserve"> days from receipt of payment for your form to be completed. H</w:t>
      </w:r>
      <w:r w:rsidRPr="00D6695C">
        <w:rPr>
          <w:sz w:val="24"/>
          <w:szCs w:val="24"/>
        </w:rPr>
        <w:t>owever</w:t>
      </w:r>
      <w:r w:rsidR="00D6695C" w:rsidRPr="00D6695C">
        <w:rPr>
          <w:sz w:val="24"/>
          <w:szCs w:val="24"/>
        </w:rPr>
        <w:t>,</w:t>
      </w:r>
      <w:r w:rsidRPr="00D6695C">
        <w:rPr>
          <w:sz w:val="24"/>
          <w:szCs w:val="24"/>
        </w:rPr>
        <w:t xml:space="preserve"> there may be a delay when there is a high number of requests or a</w:t>
      </w:r>
      <w:r w:rsidR="00D6695C" w:rsidRPr="00D6695C">
        <w:rPr>
          <w:sz w:val="24"/>
          <w:szCs w:val="24"/>
        </w:rPr>
        <w:t xml:space="preserve"> </w:t>
      </w:r>
      <w:r w:rsidRPr="00D6695C">
        <w:rPr>
          <w:sz w:val="24"/>
          <w:szCs w:val="24"/>
        </w:rPr>
        <w:t>doctor is absent from the practice</w:t>
      </w:r>
      <w:r w:rsidR="00D6695C" w:rsidRPr="00D6695C">
        <w:rPr>
          <w:sz w:val="24"/>
          <w:szCs w:val="24"/>
        </w:rPr>
        <w:t xml:space="preserve"> and we will advise you if delays are expected</w:t>
      </w:r>
      <w:r w:rsidRPr="00D6695C">
        <w:rPr>
          <w:sz w:val="24"/>
          <w:szCs w:val="24"/>
        </w:rPr>
        <w:t xml:space="preserve">. </w:t>
      </w:r>
      <w:r w:rsidR="00D6695C" w:rsidRPr="00D6695C">
        <w:rPr>
          <w:sz w:val="24"/>
          <w:szCs w:val="24"/>
        </w:rPr>
        <w:t xml:space="preserve"> </w:t>
      </w:r>
    </w:p>
    <w:p w:rsidR="00D6695C" w:rsidRPr="00D6695C" w:rsidRDefault="00D6695C" w:rsidP="00D6695C">
      <w:pPr>
        <w:rPr>
          <w:sz w:val="24"/>
          <w:szCs w:val="24"/>
        </w:rPr>
      </w:pPr>
    </w:p>
    <w:sectPr w:rsidR="00D6695C" w:rsidRPr="00D6695C" w:rsidSect="00CA1DE6">
      <w:pgSz w:w="11906" w:h="16838"/>
      <w:pgMar w:top="426" w:right="14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6"/>
    <w:rsid w:val="000610A6"/>
    <w:rsid w:val="00075D7F"/>
    <w:rsid w:val="00091C15"/>
    <w:rsid w:val="00146E6B"/>
    <w:rsid w:val="001E2764"/>
    <w:rsid w:val="0029483D"/>
    <w:rsid w:val="00316CE9"/>
    <w:rsid w:val="00331CB6"/>
    <w:rsid w:val="00343967"/>
    <w:rsid w:val="00360F49"/>
    <w:rsid w:val="003958A0"/>
    <w:rsid w:val="00437E79"/>
    <w:rsid w:val="004F3E63"/>
    <w:rsid w:val="00586538"/>
    <w:rsid w:val="006275BD"/>
    <w:rsid w:val="00634EF4"/>
    <w:rsid w:val="006901FE"/>
    <w:rsid w:val="006C3165"/>
    <w:rsid w:val="007E02E3"/>
    <w:rsid w:val="00840B5B"/>
    <w:rsid w:val="008519FA"/>
    <w:rsid w:val="009A7246"/>
    <w:rsid w:val="00A32A92"/>
    <w:rsid w:val="00B426FF"/>
    <w:rsid w:val="00B805AA"/>
    <w:rsid w:val="00B91385"/>
    <w:rsid w:val="00BA397B"/>
    <w:rsid w:val="00C646C3"/>
    <w:rsid w:val="00C8642B"/>
    <w:rsid w:val="00CA1DE6"/>
    <w:rsid w:val="00CF7B60"/>
    <w:rsid w:val="00D07533"/>
    <w:rsid w:val="00D2464C"/>
    <w:rsid w:val="00D50C3E"/>
    <w:rsid w:val="00D66340"/>
    <w:rsid w:val="00D6695C"/>
    <w:rsid w:val="00D80EA1"/>
    <w:rsid w:val="00E7404D"/>
    <w:rsid w:val="00EA36C5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26B4-E8CE-48D3-9741-91545967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Richards Gavin (Stoke Gifford Medical Centre)</cp:lastModifiedBy>
  <cp:revision>4</cp:revision>
  <cp:lastPrinted>2018-06-01T12:26:00Z</cp:lastPrinted>
  <dcterms:created xsi:type="dcterms:W3CDTF">2020-09-24T15:25:00Z</dcterms:created>
  <dcterms:modified xsi:type="dcterms:W3CDTF">2020-09-24T15:43:00Z</dcterms:modified>
</cp:coreProperties>
</file>